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379"/>
        <w:gridCol w:w="2379"/>
        <w:gridCol w:w="2379"/>
        <w:gridCol w:w="2380"/>
        <w:gridCol w:w="2380"/>
        <w:gridCol w:w="2380"/>
      </w:tblGrid>
      <w:tr w:rsidR="00462DC5" w14:paraId="49C95FFF" w14:textId="77777777" w:rsidTr="00A11DEC">
        <w:tc>
          <w:tcPr>
            <w:tcW w:w="14277" w:type="dxa"/>
            <w:gridSpan w:val="6"/>
          </w:tcPr>
          <w:p w14:paraId="232B28CF" w14:textId="5BDD5AB5" w:rsidR="00462DC5" w:rsidRDefault="00462DC5">
            <w:r>
              <w:rPr>
                <w:rFonts w:ascii="FEF9ED08E03" w:hAnsi="FEF9ED08E03" w:cs="FEF9ED08E03"/>
              </w:rPr>
              <w:t>RETRIBUZIONE ANNUA LORDA</w:t>
            </w:r>
          </w:p>
        </w:tc>
      </w:tr>
      <w:tr w:rsidR="00462DC5" w14:paraId="1D803875" w14:textId="77777777" w:rsidTr="00DE47F3">
        <w:tc>
          <w:tcPr>
            <w:tcW w:w="14277" w:type="dxa"/>
            <w:gridSpan w:val="6"/>
          </w:tcPr>
          <w:p w14:paraId="52C9A9B4" w14:textId="1F2A6F82" w:rsidR="00462DC5" w:rsidRDefault="00462DC5">
            <w:r>
              <w:rPr>
                <w:rFonts w:ascii="FEF9ED08E03" w:hAnsi="FEF9ED08E03" w:cs="FEF9ED08E03"/>
              </w:rPr>
              <w:t>Amministrazione: INGV – Istituto Nazionale di Geofisica e Vulcanologia</w:t>
            </w:r>
          </w:p>
        </w:tc>
      </w:tr>
      <w:tr w:rsidR="00462DC5" w14:paraId="487E0604" w14:textId="77777777" w:rsidTr="00CC3EE9">
        <w:tc>
          <w:tcPr>
            <w:tcW w:w="14277" w:type="dxa"/>
            <w:gridSpan w:val="6"/>
          </w:tcPr>
          <w:p w14:paraId="66EDB678" w14:textId="2665CC23" w:rsidR="00462DC5" w:rsidRDefault="00462DC5">
            <w:r>
              <w:t xml:space="preserve">Dirigente: </w:t>
            </w:r>
          </w:p>
        </w:tc>
      </w:tr>
      <w:tr w:rsidR="00462DC5" w14:paraId="6019AB2E" w14:textId="77777777" w:rsidTr="00285C87">
        <w:tc>
          <w:tcPr>
            <w:tcW w:w="14277" w:type="dxa"/>
            <w:gridSpan w:val="6"/>
          </w:tcPr>
          <w:p w14:paraId="3EAF248B" w14:textId="77777777" w:rsidR="00462DC5" w:rsidRDefault="00462DC5"/>
        </w:tc>
      </w:tr>
      <w:tr w:rsidR="00462DC5" w14:paraId="061CCF19" w14:textId="77777777" w:rsidTr="00462DC5">
        <w:trPr>
          <w:trHeight w:val="1011"/>
        </w:trPr>
        <w:tc>
          <w:tcPr>
            <w:tcW w:w="2379" w:type="dxa"/>
          </w:tcPr>
          <w:p w14:paraId="121092E1" w14:textId="77777777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Stipendio</w:t>
            </w:r>
          </w:p>
          <w:p w14:paraId="53C8F6E0" w14:textId="20DF8FBE" w:rsidR="00462DC5" w:rsidRDefault="00462DC5" w:rsidP="00462DC5">
            <w:pPr>
              <w:jc w:val="center"/>
            </w:pPr>
            <w:r>
              <w:rPr>
                <w:rFonts w:ascii="FEF9ED08E03" w:hAnsi="FEF9ED08E03" w:cs="FEF9ED08E03"/>
              </w:rPr>
              <w:t>Tabellare</w:t>
            </w:r>
          </w:p>
        </w:tc>
        <w:tc>
          <w:tcPr>
            <w:tcW w:w="2379" w:type="dxa"/>
          </w:tcPr>
          <w:p w14:paraId="73B5F239" w14:textId="77777777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Retribuzione</w:t>
            </w:r>
          </w:p>
          <w:p w14:paraId="261A61CE" w14:textId="77777777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posizione</w:t>
            </w:r>
          </w:p>
          <w:p w14:paraId="5FB3D02E" w14:textId="2EECB4F2" w:rsidR="00462DC5" w:rsidRDefault="00462DC5" w:rsidP="00462DC5">
            <w:pPr>
              <w:jc w:val="center"/>
            </w:pPr>
            <w:r>
              <w:rPr>
                <w:rFonts w:ascii="FEF9ED08E03" w:hAnsi="FEF9ED08E03" w:cs="FEF9ED08E03"/>
              </w:rPr>
              <w:t>parte fissa</w:t>
            </w:r>
          </w:p>
        </w:tc>
        <w:tc>
          <w:tcPr>
            <w:tcW w:w="2379" w:type="dxa"/>
          </w:tcPr>
          <w:p w14:paraId="1336A793" w14:textId="77777777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Retribuzione</w:t>
            </w:r>
          </w:p>
          <w:p w14:paraId="32C75B9D" w14:textId="77777777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posizione</w:t>
            </w:r>
          </w:p>
          <w:p w14:paraId="104668A1" w14:textId="7C8A8FCA" w:rsidR="00462DC5" w:rsidRDefault="00462DC5" w:rsidP="00462DC5">
            <w:pPr>
              <w:jc w:val="center"/>
            </w:pPr>
            <w:r>
              <w:rPr>
                <w:rFonts w:ascii="FEF9ED08E03" w:hAnsi="FEF9ED08E03" w:cs="FEF9ED08E03"/>
              </w:rPr>
              <w:t>parte variabile</w:t>
            </w:r>
            <w:r w:rsidR="005E58FD">
              <w:rPr>
                <w:rFonts w:ascii="FEF9ED08E03" w:hAnsi="FEF9ED08E03" w:cs="FEF9ED08E03"/>
              </w:rPr>
              <w:t xml:space="preserve"> (1)</w:t>
            </w:r>
          </w:p>
        </w:tc>
        <w:tc>
          <w:tcPr>
            <w:tcW w:w="2380" w:type="dxa"/>
          </w:tcPr>
          <w:p w14:paraId="07A8C0D7" w14:textId="1CCC9F19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Retribuzione di</w:t>
            </w:r>
          </w:p>
          <w:p w14:paraId="78289BE3" w14:textId="6FFAB41F" w:rsidR="00462DC5" w:rsidRDefault="00462DC5" w:rsidP="00462DC5">
            <w:pPr>
              <w:jc w:val="center"/>
            </w:pPr>
            <w:r>
              <w:rPr>
                <w:rFonts w:ascii="FEF9ED08E03" w:hAnsi="FEF9ED08E03" w:cs="FEF9ED08E03"/>
              </w:rPr>
              <w:t>risultato</w:t>
            </w:r>
          </w:p>
        </w:tc>
        <w:tc>
          <w:tcPr>
            <w:tcW w:w="2380" w:type="dxa"/>
          </w:tcPr>
          <w:p w14:paraId="48F14488" w14:textId="2C0C1D84" w:rsidR="00462DC5" w:rsidRDefault="00462DC5" w:rsidP="00462DC5">
            <w:pPr>
              <w:jc w:val="center"/>
            </w:pPr>
            <w:r>
              <w:t>Altro (</w:t>
            </w:r>
            <w:r w:rsidR="005E58FD">
              <w:t>2</w:t>
            </w:r>
            <w:r>
              <w:t>)</w:t>
            </w:r>
          </w:p>
        </w:tc>
        <w:tc>
          <w:tcPr>
            <w:tcW w:w="2380" w:type="dxa"/>
          </w:tcPr>
          <w:p w14:paraId="0331B826" w14:textId="7F49DA16" w:rsidR="00462DC5" w:rsidRDefault="00462DC5" w:rsidP="00462DC5">
            <w:pPr>
              <w:autoSpaceDE w:val="0"/>
              <w:autoSpaceDN w:val="0"/>
              <w:adjustRightInd w:val="0"/>
              <w:jc w:val="center"/>
              <w:rPr>
                <w:rFonts w:ascii="FEF9ED08E03" w:hAnsi="FEF9ED08E03" w:cs="FEF9ED08E03"/>
              </w:rPr>
            </w:pPr>
            <w:r>
              <w:rPr>
                <w:rFonts w:ascii="FEF9ED08E03" w:hAnsi="FEF9ED08E03" w:cs="FEF9ED08E03"/>
              </w:rPr>
              <w:t>TOTALE RETRIBUZIONE ANNUA LORDA</w:t>
            </w:r>
          </w:p>
          <w:p w14:paraId="6ADEF2FD" w14:textId="6B80089B" w:rsidR="00462DC5" w:rsidRDefault="00462DC5" w:rsidP="00462DC5">
            <w:pPr>
              <w:jc w:val="center"/>
            </w:pPr>
            <w:r>
              <w:rPr>
                <w:rFonts w:ascii="FEF9ED08E03" w:hAnsi="FEF9ED08E03" w:cs="FEF9ED08E03"/>
              </w:rPr>
              <w:t>(</w:t>
            </w:r>
            <w:r w:rsidR="005E58FD">
              <w:rPr>
                <w:rFonts w:ascii="FEF9ED08E03" w:hAnsi="FEF9ED08E03" w:cs="FEF9ED08E03"/>
              </w:rPr>
              <w:t>3</w:t>
            </w:r>
            <w:r>
              <w:rPr>
                <w:rFonts w:ascii="FEF9ED08E03" w:hAnsi="FEF9ED08E03" w:cs="FEF9ED08E03"/>
              </w:rPr>
              <w:t>)</w:t>
            </w:r>
          </w:p>
        </w:tc>
      </w:tr>
      <w:tr w:rsidR="00462DC5" w14:paraId="4E2844F0" w14:textId="77777777" w:rsidTr="00462DC5">
        <w:tc>
          <w:tcPr>
            <w:tcW w:w="2379" w:type="dxa"/>
          </w:tcPr>
          <w:p w14:paraId="1A4196E0" w14:textId="7F4C3259" w:rsidR="00462DC5" w:rsidRDefault="00066523" w:rsidP="00462DC5">
            <w:pPr>
              <w:jc w:val="center"/>
            </w:pPr>
            <w:r>
              <w:t>45.260,73</w:t>
            </w:r>
          </w:p>
        </w:tc>
        <w:tc>
          <w:tcPr>
            <w:tcW w:w="2379" w:type="dxa"/>
          </w:tcPr>
          <w:p w14:paraId="6145C9F8" w14:textId="735AD938" w:rsidR="00462DC5" w:rsidRDefault="00066523" w:rsidP="00462DC5">
            <w:pPr>
              <w:jc w:val="center"/>
            </w:pPr>
            <w:r>
              <w:t>12.565,11</w:t>
            </w:r>
          </w:p>
        </w:tc>
        <w:tc>
          <w:tcPr>
            <w:tcW w:w="2379" w:type="dxa"/>
          </w:tcPr>
          <w:p w14:paraId="4D620A95" w14:textId="0FAEF1A2" w:rsidR="00462DC5" w:rsidRDefault="00066523" w:rsidP="00462DC5">
            <w:pPr>
              <w:jc w:val="center"/>
            </w:pPr>
            <w:r>
              <w:t>33.569,70</w:t>
            </w:r>
          </w:p>
        </w:tc>
        <w:tc>
          <w:tcPr>
            <w:tcW w:w="2380" w:type="dxa"/>
          </w:tcPr>
          <w:p w14:paraId="453CC7A7" w14:textId="208D4456" w:rsidR="00462DC5" w:rsidRDefault="00066523" w:rsidP="00462DC5">
            <w:pPr>
              <w:jc w:val="center"/>
            </w:pPr>
            <w:r>
              <w:t>(1)</w:t>
            </w:r>
          </w:p>
        </w:tc>
        <w:tc>
          <w:tcPr>
            <w:tcW w:w="2380" w:type="dxa"/>
          </w:tcPr>
          <w:p w14:paraId="47C41D1F" w14:textId="4C7B64DE" w:rsidR="00462DC5" w:rsidRDefault="005E58FD" w:rsidP="00462DC5">
            <w:pPr>
              <w:jc w:val="center"/>
            </w:pPr>
            <w:r>
              <w:t>-</w:t>
            </w:r>
          </w:p>
        </w:tc>
        <w:tc>
          <w:tcPr>
            <w:tcW w:w="2380" w:type="dxa"/>
          </w:tcPr>
          <w:p w14:paraId="499E04BB" w14:textId="359E1AF1" w:rsidR="00462DC5" w:rsidRDefault="002002E5" w:rsidP="002002E5">
            <w:pPr>
              <w:tabs>
                <w:tab w:val="left" w:pos="264"/>
              </w:tabs>
            </w:pPr>
            <w:r>
              <w:tab/>
            </w:r>
            <w:r w:rsidR="00066523">
              <w:t>91.</w:t>
            </w:r>
            <w:bookmarkStart w:id="0" w:name="_GoBack"/>
            <w:bookmarkEnd w:id="0"/>
            <w:r w:rsidR="00066523">
              <w:t>395,54</w:t>
            </w:r>
          </w:p>
        </w:tc>
      </w:tr>
    </w:tbl>
    <w:p w14:paraId="0D821BEF" w14:textId="4F4078CD" w:rsidR="00510E16" w:rsidRDefault="00510E16"/>
    <w:p w14:paraId="43EF012F" w14:textId="77777777" w:rsidR="00462DC5" w:rsidRDefault="00462DC5" w:rsidP="00462DC5">
      <w:r>
        <w:t>NOTE:</w:t>
      </w:r>
    </w:p>
    <w:p w14:paraId="6F83D5B8" w14:textId="19A204FD" w:rsidR="00462DC5" w:rsidRDefault="00462DC5" w:rsidP="00462DC5">
      <w:r>
        <w:t>I valori retributivi sono espressi in proiezione annua, comprensiva della tredicesima mensilità per le voci ove è prevista.</w:t>
      </w:r>
    </w:p>
    <w:p w14:paraId="77A62829" w14:textId="0E43720F" w:rsidR="005E58FD" w:rsidRDefault="005E58FD" w:rsidP="005E58FD">
      <w:r>
        <w:t>(1) La retribuzione di parte variabile è identificata ed attribuita a titolo di retribuzione di risultato</w:t>
      </w:r>
    </w:p>
    <w:p w14:paraId="0764C638" w14:textId="7197EE5F" w:rsidR="00462DC5" w:rsidRDefault="00462DC5" w:rsidP="00462DC5">
      <w:r>
        <w:t>(</w:t>
      </w:r>
      <w:r w:rsidR="005E58FD">
        <w:t>2</w:t>
      </w:r>
      <w:r>
        <w:t xml:space="preserve">) Ogni altro emolumento retributivo non compreso nelle voci precedenti (es. RIA, assegno ad personam, vacanza contrattuale, </w:t>
      </w:r>
      <w:r w:rsidR="001A28EB">
        <w:t xml:space="preserve">indennità da CCNL, </w:t>
      </w:r>
      <w:proofErr w:type="gramStart"/>
      <w:r>
        <w:t>ecc. )</w:t>
      </w:r>
      <w:proofErr w:type="gramEnd"/>
    </w:p>
    <w:p w14:paraId="77671F38" w14:textId="6D05FC04" w:rsidR="00462DC5" w:rsidRDefault="00462DC5" w:rsidP="00462DC5">
      <w:r>
        <w:t>(</w:t>
      </w:r>
      <w:r w:rsidR="005E58FD">
        <w:t>3</w:t>
      </w:r>
      <w:r>
        <w:t>) L'importo indicato è al lordo delle ritenute previdenziali e fiscali e della retribuzione di risultato.</w:t>
      </w:r>
    </w:p>
    <w:sectPr w:rsidR="00462DC5" w:rsidSect="00462DC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EF9ED08E03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DC5"/>
    <w:rsid w:val="00066523"/>
    <w:rsid w:val="001A28EB"/>
    <w:rsid w:val="002002E5"/>
    <w:rsid w:val="00213C79"/>
    <w:rsid w:val="00462DC5"/>
    <w:rsid w:val="00510E16"/>
    <w:rsid w:val="005E58FD"/>
    <w:rsid w:val="00730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7560A"/>
  <w15:chartTrackingRefBased/>
  <w15:docId w15:val="{9DCABAB9-B450-4DC6-9028-1E358F07D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62D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Di Caprio</dc:creator>
  <cp:keywords/>
  <dc:description/>
  <cp:lastModifiedBy>maria.puppio@ingv.it</cp:lastModifiedBy>
  <cp:revision>2</cp:revision>
  <dcterms:created xsi:type="dcterms:W3CDTF">2022-09-13T09:31:00Z</dcterms:created>
  <dcterms:modified xsi:type="dcterms:W3CDTF">2022-09-13T09:31:00Z</dcterms:modified>
</cp:coreProperties>
</file>